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1A8C"/>
          <w:sz w:val="36"/>
          <w:szCs w:val="36"/>
        </w:rPr>
      </w:pPr>
      <w:r>
        <w:rPr>
          <w:rFonts w:ascii="Times New Roman" w:hAnsi="Times New Roman" w:cs="Times New Roman"/>
          <w:color w:val="551A8C"/>
          <w:sz w:val="36"/>
          <w:szCs w:val="36"/>
        </w:rPr>
        <w:t>Suggestions to simplify income-tax law – Basis of charge and income exempt from tax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1A8C"/>
          <w:sz w:val="36"/>
          <w:szCs w:val="36"/>
        </w:rPr>
      </w:pPr>
    </w:p>
    <w:p w:rsidR="008C0AB3" w:rsidRP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 w:rsidRPr="008C0AB3">
        <w:rPr>
          <w:rFonts w:ascii="Times New Roman" w:hAnsi="Times New Roman" w:cs="Times New Roman"/>
          <w:b/>
          <w:color w:val="C00000"/>
          <w:sz w:val="24"/>
          <w:szCs w:val="24"/>
        </w:rPr>
        <w:t>Introduction</w:t>
      </w:r>
      <w:proofErr w:type="gramEnd"/>
    </w:p>
    <w:p w:rsidR="008C0AB3" w:rsidRPr="008C0AB3" w:rsidRDefault="008C0AB3" w:rsidP="008C0A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attempt has been made in this article to offer some suggestions in respect of Chapters II &amp; III – (Basis of charge and income exempt from tax) of the Report of the Expert Group, to simplify income-tax law, which was constituted by the Government of India, vide their order dated August 6, 1996.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Drafting a statute is quite a difficult task whereas giving suggestions in respect thereof, for improvement, etc., is comparatively easier. Therefore, in all humility, the following suggestions regarding the aforesaid Chapters II &amp; III are submitted for consideration by the appropriate forum, in the hope that the same may be found useful in the process of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simplification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income-tax law.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bidi="he-IL"/>
        </w:rPr>
      </w:pPr>
      <w:r w:rsidRPr="008C0AB3">
        <w:rPr>
          <w:rFonts w:ascii="Times New Roman" w:hAnsi="Times New Roman" w:cs="Times New Roman"/>
          <w:b/>
          <w:color w:val="C00000"/>
          <w:sz w:val="24"/>
          <w:szCs w:val="24"/>
        </w:rPr>
        <w:t>2. Basis of charge of income-tax and definition of “</w:t>
      </w:r>
      <w:r w:rsidRPr="008C0AB3"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bidi="he-IL"/>
        </w:rPr>
        <w:t>income”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bidi="he-IL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4 of the Income-Tax Act, 1961 (the Act), is the basic charging section under which income-tax is chargeable on the total income of every person. The word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is defined under section 2(24) of the Act. As per section 14, all income, for the purpose of charge of income-tax and computation of total income, is classified under five heads of income. Then section 15 is the charging section in respect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 from salaries”,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22 in respect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 from house property”,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28 in respect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Profits and gains of business or profession”,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45in respect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Capital gains” </w:t>
      </w:r>
      <w:r>
        <w:rPr>
          <w:rFonts w:ascii="Times New Roman" w:hAnsi="Times New Roman" w:cs="Times New Roman"/>
          <w:color w:val="000000"/>
          <w:sz w:val="24"/>
          <w:szCs w:val="24"/>
        </w:rPr>
        <w:t>and section 56 in respect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Income from other sources”.</w:t>
      </w:r>
    </w:p>
    <w:p w:rsidR="008C0AB3" w:rsidRP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section 2(24) has been enlarged over a number of years in a haphazard manner.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Similarly, sections 28 and 45, etc., have also suffered haphazard amendments.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whole approach in respect of these amendments has been a piecemeal one and not a holistic one. There has been no well-thought out, scientific or logical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regarding the amendments of 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under section 2(24) and the provisions of sections 15, 22, 28, 45 and 56.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 for example the charge of income-tax in respect of income from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salaries”. </w:t>
      </w:r>
      <w:r>
        <w:rPr>
          <w:rFonts w:ascii="Times New Roman" w:hAnsi="Times New Roman" w:cs="Times New Roman"/>
          <w:color w:val="000000"/>
          <w:sz w:val="24"/>
          <w:szCs w:val="24"/>
        </w:rPr>
        <w:t>Income from salaries is chargeable to tax under section 15;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perquisites” </w:t>
      </w:r>
      <w:r>
        <w:rPr>
          <w:rFonts w:ascii="Times New Roman" w:hAnsi="Times New Roman" w:cs="Times New Roman"/>
          <w:color w:val="000000"/>
          <w:sz w:val="24"/>
          <w:szCs w:val="24"/>
        </w:rPr>
        <w:t>and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profits in lieu of salary”, </w:t>
      </w:r>
      <w:r>
        <w:rPr>
          <w:rFonts w:ascii="Times New Roman" w:hAnsi="Times New Roman" w:cs="Times New Roman"/>
          <w:color w:val="000000"/>
          <w:sz w:val="24"/>
          <w:szCs w:val="24"/>
        </w:rPr>
        <w:t>etc., are included in 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salary”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 section 17(1). The value of any perquisite or profit in lieu of salary is also included in the definition of income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2(24)(iii) whereas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salary” </w:t>
      </w:r>
      <w:r>
        <w:rPr>
          <w:rFonts w:ascii="Times New Roman" w:hAnsi="Times New Roman" w:cs="Times New Roman"/>
          <w:color w:val="000000"/>
          <w:sz w:val="24"/>
          <w:szCs w:val="24"/>
        </w:rPr>
        <w:t>is not so included.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Further, sub-clauses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(v) and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of section 2(24) relate to income from salaries. There seems to be no apparent logic behind the aforesaid manner of the drafting of these provisions.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Similarly, sub-clauses (v),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and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relate to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profits and gains”, </w:t>
      </w:r>
      <w:r>
        <w:rPr>
          <w:rFonts w:ascii="Times New Roman" w:hAnsi="Times New Roman" w:cs="Times New Roman"/>
          <w:color w:val="000000"/>
          <w:sz w:val="24"/>
          <w:szCs w:val="24"/>
        </w:rPr>
        <w:t>whereas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profits and gains” </w:t>
      </w:r>
      <w:r>
        <w:rPr>
          <w:rFonts w:ascii="Times New Roman" w:hAnsi="Times New Roman" w:cs="Times New Roman"/>
          <w:color w:val="000000"/>
          <w:sz w:val="24"/>
          <w:szCs w:val="24"/>
        </w:rPr>
        <w:t>are already included in 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under section 2(24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Besides, the aforesaid sub-clauses of section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2(24) make references to the types of incomes included in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profits and gains” </w:t>
      </w:r>
      <w:r>
        <w:rPr>
          <w:rFonts w:ascii="Times New Roman" w:hAnsi="Times New Roman" w:cs="Times New Roman"/>
          <w:color w:val="000000"/>
          <w:sz w:val="24"/>
          <w:szCs w:val="24"/>
        </w:rPr>
        <w:t>in section 28; whereas clauses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and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of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section 56(1) make counter-references to the types of income included in sub-clauses (viii), (ix) and (x) of section 2(24), respectively.</w:t>
      </w:r>
    </w:p>
    <w:p w:rsidR="008C0AB3" w:rsidRP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profits and gains”,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capital gains”,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major part of section 28 and dividend, etc., form part of the definition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under section 2(24), whereas income from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salaries” </w:t>
      </w:r>
      <w:r>
        <w:rPr>
          <w:rFonts w:ascii="Times New Roman" w:hAnsi="Times New Roman" w:cs="Times New Roman"/>
          <w:color w:val="000000"/>
          <w:sz w:val="24"/>
          <w:szCs w:val="24"/>
        </w:rPr>
        <w:t>and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 from house property” </w:t>
      </w:r>
      <w:r>
        <w:rPr>
          <w:rFonts w:ascii="Times New Roman" w:hAnsi="Times New Roman" w:cs="Times New Roman"/>
          <w:color w:val="000000"/>
          <w:sz w:val="24"/>
          <w:szCs w:val="24"/>
        </w:rPr>
        <w:t>do not find place in 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ultimate results is a total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hotch-potch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far as the definition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ncome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under section 2(24) and the provisions of sections 15, 22, 28, 45 and 56 are concerned.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Expert Group has not applied its mind to such an important aspect of the income-tax law, which has given rise to a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 of litigation. The aforesaid issue which is connected with 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income”,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provisions of sections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 5, 14, 15, 22, 28, 45 and 56; should have been addressed to, by the Expert Group in order to make them logical,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comprehensive and harmonious.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better course would be to include all possible items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under sections 15, 22, 28, 45 and 56 in a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comprehensive manner and then adopt the definition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income”, </w:t>
      </w:r>
      <w:r>
        <w:rPr>
          <w:rFonts w:ascii="Times New Roman" w:hAnsi="Times New Roman" w:cs="Times New Roman"/>
          <w:color w:val="000000"/>
          <w:sz w:val="24"/>
          <w:szCs w:val="24"/>
        </w:rPr>
        <w:t>accordingly.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present, the provisions of various aforesaid sections are quite mixed up, unwieldy and incomprehensible. In order to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make the aforesaid provisions simple, the same are required to be arranged and drafted in a simple, harmonious and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easy to understand, manner.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3F76">
        <w:rPr>
          <w:rFonts w:ascii="Times New Roman" w:hAnsi="Times New Roman" w:cs="Times New Roman"/>
          <w:b/>
          <w:color w:val="C00000"/>
          <w:sz w:val="24"/>
          <w:szCs w:val="24"/>
        </w:rPr>
        <w:t>3. Removal of concept of assessment year.</w:t>
      </w:r>
    </w:p>
    <w:p w:rsidR="009F3F76" w:rsidRP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Expert Group has recommended that after the incorporation of the concept of financial year as the uniform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 year for all taxpayers, there would be no need of retaining the concept of assessment year. But one may have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eservations about the aforesaid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of all, a person who can understand the concept of financial year as the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income year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”,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 also understand the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concept of assessment year. Besides, the income of a particular income year or financial year is taxable in the next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 year which we presently call assessment year. The return of income is also to be filed in the next following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financial year,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i.e. </w:t>
      </w:r>
      <w:r>
        <w:rPr>
          <w:rFonts w:ascii="Times New Roman" w:hAnsi="Times New Roman" w:cs="Times New Roman"/>
          <w:color w:val="000000"/>
          <w:sz w:val="24"/>
          <w:szCs w:val="24"/>
        </w:rPr>
        <w:t>the relevant assessment year. Therefore, it would be more advantageous to retain the concepts of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 the financial year and the assessment year.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addition, the expression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assessment year”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has been used at a large number of places in the Act. Most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timelimits</w:t>
      </w:r>
      <w:proofErr w:type="spellEnd"/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fixed with reference to the end of the assessment year.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Removal of the concept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assessment year” </w:t>
      </w:r>
      <w:r>
        <w:rPr>
          <w:rFonts w:ascii="Times New Roman" w:hAnsi="Times New Roman" w:cs="Times New Roman"/>
          <w:color w:val="000000"/>
          <w:sz w:val="24"/>
          <w:szCs w:val="24"/>
        </w:rPr>
        <w:t>will, therefore, necessitate avoidable amendments at numerous places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Act without serving any purpose. It would be nothing but a change for the sake of change. I would, therefore,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suggest that the concept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assessment year”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retained along with the concept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financial year”.</w:t>
      </w:r>
    </w:p>
    <w:p w:rsidR="009F3F76" w:rsidRP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3F76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F76">
        <w:rPr>
          <w:rFonts w:ascii="Times New Roman" w:hAnsi="Times New Roman" w:cs="Times New Roman"/>
          <w:b/>
          <w:color w:val="C00000"/>
          <w:sz w:val="24"/>
          <w:szCs w:val="24"/>
        </w:rPr>
        <w:t>4. Receipt of income in India which does not accrue or arise in India – Section 5(2)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provisions under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5(2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 to tax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on receipt basis, though the same does not accrue or arise in India, are rather archaic.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may be recalled here that as per the provisions of section 5(2)(a), total income of a person who is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non-resident”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includes all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income from whatever source derived, which is received or deemed to be received in India by or on behalf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such person.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aforesaid provision is the main reason why persons of Indian origin receive money abroad in the first instance and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thereafter they remit it to India. Take the cases of persons serving on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Indian ships” </w:t>
      </w:r>
      <w:r>
        <w:rPr>
          <w:rFonts w:ascii="Times New Roman" w:hAnsi="Times New Roman" w:cs="Times New Roman"/>
          <w:color w:val="000000"/>
          <w:sz w:val="24"/>
          <w:szCs w:val="24"/>
        </w:rPr>
        <w:t>on high seas. Such persons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become non-residents. Their salaries are payable abroad in foreign exchange, only to avoid tax on receipt basis. It is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 ironical that if a person receives his salary in a foreign bank or on board a ship and thereafter remits the same to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India, then it is not taxable in India. However, if the same salary is paid in the bank account of a non-resident Indian or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his relatives in India, the same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exigible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Indian income-tax. The aforesaid provisions are illogical, leading to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sizeable leakage of foreign exchange out of India.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Expert Group does not appear to have addressed the aforesaid issue. It may be emphasized here that valuable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foreign exchange is kept abroad just because of the aforesaid unreasonable tax provisions. Furthermore, receipt of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income” </w:t>
      </w:r>
      <w:r>
        <w:rPr>
          <w:rFonts w:ascii="Times New Roman" w:hAnsi="Times New Roman" w:cs="Times New Roman"/>
          <w:color w:val="000000"/>
          <w:sz w:val="24"/>
          <w:szCs w:val="24"/>
        </w:rPr>
        <w:t>should never be the basis of charge of income-tax in an economy which is starving for foreign exchange. It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 therefore, suggested that the aforesaid provisions should be suitably amended.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may also be stated here that the Assessing Officers in most of the places use the artificial concept of post office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serving as an agent of the non-resident and where regular remittances are sent through the same bank, for the inference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an implied request for such remittance through the bank, inferring the local bank to be its agent and then proceed to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tax income embedded in such payments on receipt basis, even where the receipt is for services rendered abroad or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sales made as between principals. Such a course of action on the part of Assessing Officers has been sanctified vide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Board’s Circular No. 302 dated May 2, 1981 for gift-tax purposes. This artificiality should certainly be removed if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tax laws are t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o be made </w:t>
      </w:r>
      <w:r>
        <w:rPr>
          <w:rFonts w:ascii="Times New Roman" w:hAnsi="Times New Roman" w:cs="Times New Roman"/>
          <w:color w:val="000000"/>
          <w:sz w:val="24"/>
          <w:szCs w:val="24"/>
        </w:rPr>
        <w:t>simpler.</w:t>
      </w:r>
    </w:p>
    <w:p w:rsidR="009F3F76" w:rsidRP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3F76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F76">
        <w:rPr>
          <w:rFonts w:ascii="Times New Roman" w:hAnsi="Times New Roman" w:cs="Times New Roman"/>
          <w:b/>
          <w:color w:val="C00000"/>
          <w:sz w:val="24"/>
          <w:szCs w:val="24"/>
        </w:rPr>
        <w:t>5. Amendment of status – “</w:t>
      </w:r>
      <w:r w:rsidRPr="009F3F76"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bidi="he-IL"/>
        </w:rPr>
        <w:t xml:space="preserve">Resident but not ordinarily Resident” – </w:t>
      </w:r>
      <w:r w:rsidRPr="009F3F76">
        <w:rPr>
          <w:rFonts w:ascii="Times New Roman" w:hAnsi="Times New Roman" w:cs="Times New Roman"/>
          <w:b/>
          <w:color w:val="C00000"/>
          <w:sz w:val="24"/>
          <w:szCs w:val="24"/>
        </w:rPr>
        <w:t>Under section 6(6)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F76" w:rsidRDefault="009F3F76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Expert Group has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recommended reduction of the period for the residential status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resident but not ordinarily resident”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 9 years to 5 years if a person has been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non-resident” </w:t>
      </w:r>
      <w:r>
        <w:rPr>
          <w:rFonts w:ascii="Times New Roman" w:hAnsi="Times New Roman" w:cs="Times New Roman"/>
          <w:color w:val="000000"/>
          <w:sz w:val="24"/>
          <w:szCs w:val="24"/>
        </w:rPr>
        <w:t>for two consecutive years. The aforesaid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 is nothing but an exercise in tinkering with the provisions of the Act. There is nothing sacrosanct about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 of five years against the present period of nine years.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Expert Group is so much concerned about the loss of revenue on this account, then the simpler course would be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scrap the concept of status of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resident but not ordinarily resident: </w:t>
      </w:r>
      <w:r>
        <w:rPr>
          <w:rFonts w:ascii="Times New Roman" w:hAnsi="Times New Roman" w:cs="Times New Roman"/>
          <w:color w:val="000000"/>
          <w:sz w:val="24"/>
          <w:szCs w:val="24"/>
        </w:rPr>
        <w:t>altogether. No useful purpose would be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served by making the aforesaid change when the present provisions have been working satisfactorily for so long.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>6. Income exempt from tax – Under section 10</w:t>
      </w:r>
    </w:p>
    <w:p w:rsidR="0051516C" w:rsidRP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1516C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10, over a period of time, has become highly unwieldy and cumbersome. Various kinds of exemptions have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 incorporated in section 10 in an unscientific and haphazard manner.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8C0AB3">
        <w:rPr>
          <w:rFonts w:ascii="Times New Roman" w:hAnsi="Times New Roman" w:cs="Times New Roman"/>
          <w:color w:val="000000"/>
          <w:sz w:val="24"/>
          <w:szCs w:val="24"/>
        </w:rPr>
        <w:t>Some exemptions under section 10 relate to various heads of income, namely, “</w:t>
      </w:r>
      <w:r w:rsidR="008C0AB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Income from salaries”, </w:t>
      </w:r>
      <w:r w:rsidR="008C0AB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C0AB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AB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from other sources”, </w:t>
      </w:r>
      <w:r w:rsidR="008C0AB3">
        <w:rPr>
          <w:rFonts w:ascii="Times New Roman" w:hAnsi="Times New Roman" w:cs="Times New Roman"/>
          <w:color w:val="000000"/>
          <w:sz w:val="24"/>
          <w:szCs w:val="24"/>
        </w:rPr>
        <w:t>etc. There are certain exemptions which cannot be classified on the basis of the criterion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AB3">
        <w:rPr>
          <w:rFonts w:ascii="Times New Roman" w:hAnsi="Times New Roman" w:cs="Times New Roman"/>
          <w:color w:val="000000"/>
          <w:sz w:val="24"/>
          <w:szCs w:val="24"/>
        </w:rPr>
        <w:t>division amongst the five heads of income.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Exemptions under section 10 are so numerous and also so clumsily worded that an attempt to get at a certain kind of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exemption, is nothing but an exercise in groping in the dark and deep sea in search of a tiny nugget.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respect one may offer certain suggestions. As far as possible, the exemptions under section 10 should be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divided amongst the five heads of income and they should be incorporated in the Act, along with the respective heads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income, for ready and easy reference. Some of the exemptions may be shifted to other places depending upon their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Here, one may cite an example of the recommendation of the Expert Group itself. The Expert Group has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recommended that clauses (21), (22), (22A), (23), (23B) and (23C), etc., may be deleted from section 10 and the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 may be incorporated in the Chapter dealing with charitable trusts, etc., one may also cite another example in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 of exemptions / deductions available in respect of capital gains. Such exemptions / deductions are already there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Chapter dealing with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capital gains” </w:t>
      </w:r>
      <w:r>
        <w:rPr>
          <w:rFonts w:ascii="Times New Roman" w:hAnsi="Times New Roman" w:cs="Times New Roman"/>
          <w:color w:val="000000"/>
          <w:sz w:val="24"/>
          <w:szCs w:val="24"/>
        </w:rPr>
        <w:t>in the form of sections 54, 54B, 54D, 54E, 54EA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,54EB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54F, 54G and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54H of the Act.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logic and simplicity demand that as far as possible all the provisions relating to various exemptions under section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should be properly classified and then incorporated in the relevant Chapters dealing with taxable income under the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various heads of income,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viz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; –</w:t>
      </w:r>
    </w:p>
    <w:p w:rsidR="0051516C" w:rsidRP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Salaries,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Income from house property,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Profits and gains of business and profession,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(iv) Capital gains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(v) Income from other sources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provisions may be shifted to other relevant Chapters and the remaining provisions may be continued under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10 itself. Such a course of action will make the income-tax law more handy, simple and purposeful.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>7. Casual and non-recurring receipts – Section 10(3)</w:t>
      </w:r>
    </w:p>
    <w:p w:rsidR="0051516C" w:rsidRP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Instead of being used as a provision-for exempting certain receipts up to a certain limit, this provision is often being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or misused as a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charging section”, </w:t>
      </w:r>
      <w:r>
        <w:rPr>
          <w:rFonts w:ascii="Times New Roman" w:hAnsi="Times New Roman" w:cs="Times New Roman"/>
          <w:color w:val="000000"/>
          <w:sz w:val="24"/>
          <w:szCs w:val="24"/>
        </w:rPr>
        <w:t>as every receipt in excess of Rs.5,000, is being brought to tax by the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Assessing Officers. In view of the aforesaid reason, this provision has generated lot of avoidable litigation.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Instead of providing some relief, this provision has become an instrument of harassment to the taxpayers.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10(3) seeks to exempt a part of receipt which is of a casual and non-recurring nature and which is otherwise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income nature and, therefore, taxable. Unfortunately, the Assessing Officers are bringing to tax all kinds of receipts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excess of Rs.5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under the cover of the provisions of section 10(3).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It is, therefore, suggested that the authorities may seriously address themselves to the issue in order to make the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 provisions more clear and simple. One suggestion is to replace the word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receipts” </w:t>
      </w:r>
      <w:r>
        <w:rPr>
          <w:rFonts w:ascii="Times New Roman" w:hAnsi="Times New Roman" w:cs="Times New Roman"/>
          <w:color w:val="000000"/>
          <w:sz w:val="24"/>
          <w:szCs w:val="24"/>
        </w:rPr>
        <w:t>by the phrase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receipts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which are of income nature”.</w:t>
      </w:r>
    </w:p>
    <w:p w:rsidR="0051516C" w:rsidRP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>8. Charitable and religious trusts – Section 11</w:t>
      </w:r>
    </w:p>
    <w:p w:rsidR="0051516C" w:rsidRP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suggestions in respect of the Report of the Expert Group relating to charitable and religious trusts, are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below :</w:t>
      </w:r>
      <w:proofErr w:type="gramEnd"/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Pr="0051516C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(a) Application of </w:t>
      </w:r>
      <w:proofErr w:type="gramStart"/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>income :</w:t>
      </w:r>
      <w:proofErr w:type="gramEnd"/>
    </w:p>
    <w:p w:rsidR="008C0AB3" w:rsidRDefault="008C0AB3" w:rsidP="00515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Expert Group has recommended that the trust must spend at least 60 per cent of its income during the financial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 and can accumulate the balance. It has further recommended that in case of a trust set up after the date of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commencement of the new law, the requirement of spending 60 per cent of the income during the year would not be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applicable and the trust will be free to accumulate up to 100 per cent of its income during the first 5 years of its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existence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may have strong reservations in respect of the first recommendation of the Group. In the first place why tinker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present provisions wherein 75 per cent of the income has to be spent during the year and the 25 per cent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thereof can be accumulated? The aforesaid change as suggested by the Expert Group does not serve any useful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purpose. It will be nothing but making a change for the sake of change.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>(b) Provision regarding accumulation of income – Under section 11(2</w:t>
      </w:r>
      <w:proofErr w:type="gramStart"/>
      <w:r w:rsidRPr="0051516C">
        <w:rPr>
          <w:rFonts w:ascii="Times New Roman" w:hAnsi="Times New Roman" w:cs="Times New Roman"/>
          <w:b/>
          <w:color w:val="C00000"/>
          <w:sz w:val="24"/>
          <w:szCs w:val="24"/>
        </w:rPr>
        <w:t>) :</w:t>
      </w:r>
      <w:proofErr w:type="gramEnd"/>
    </w:p>
    <w:p w:rsidR="0051516C" w:rsidRP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Expert Group has recommended the deletions of the provisions of section 11(2) of the Act under which a trust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 accumulate its income for a maximum period of ten years in order to build up its corpus by making an application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Assessing Officer in Form No.10.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present provisions of section 11(2) should be continued because most of the new trusts may not have sufficient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income in the first five years of their existence and if the trust does not have enough income, then what will it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accumulate? Thus, it can be seen that most of the new trusts will have to face very big problems if the provisions of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11(2) are scrapped as it will be impossible for them to build up a reasonable amount of corpus in order to run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day-to-day activities of the trust.</w:t>
      </w:r>
    </w:p>
    <w:p w:rsidR="0051516C" w:rsidRDefault="0051516C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recommendation regarding 100 per cent accumulation of income during the first 5 years of the existence of the</w:t>
      </w:r>
      <w:r w:rsidR="0051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trust need not be disturbed.</w:t>
      </w:r>
    </w:p>
    <w:p w:rsidR="001E0789" w:rsidRDefault="001E0789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Provisions regarding application of part of income in the next following financial year at the option of the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not clear from the recommendations of the Expert Group whether the provisions under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Explanation (2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)(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ii)(b)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1E0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11(1), under which a trust could opt for spending a part of its income in the next following year, would be</w:t>
      </w:r>
      <w:r w:rsidR="001E0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continued or not.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suggested that the aforesaid provisions must be continued as there may be cases where a very major part of</w:t>
      </w:r>
      <w:r w:rsidR="001E0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income of a trust is received at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 of the financial year and in such a situation, it would be impossible for the</w:t>
      </w:r>
      <w:r w:rsidR="001E0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trust to spend any part of such income during the financial year concerned. In such a situation, the income may be</w:t>
      </w:r>
      <w:r w:rsidR="00EB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spent in the next financial year.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726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(d) Mode of investment – Section 11(5</w:t>
      </w:r>
      <w:proofErr w:type="gramStart"/>
      <w:r w:rsidRPr="00EB7265">
        <w:rPr>
          <w:rFonts w:ascii="Times New Roman" w:hAnsi="Times New Roman" w:cs="Times New Roman"/>
          <w:b/>
          <w:color w:val="C00000"/>
          <w:sz w:val="24"/>
          <w:szCs w:val="24"/>
        </w:rPr>
        <w:t>) :</w:t>
      </w:r>
      <w:proofErr w:type="gramEnd"/>
    </w:p>
    <w:p w:rsidR="00EB7265" w:rsidRPr="00EB7265" w:rsidRDefault="00EB7265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AB3" w:rsidRPr="00EB7265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Expert Group has recommended,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inter alia, </w:t>
      </w:r>
      <w:r>
        <w:rPr>
          <w:rFonts w:ascii="Times New Roman" w:hAnsi="Times New Roman" w:cs="Times New Roman"/>
          <w:color w:val="000000"/>
          <w:sz w:val="24"/>
          <w:szCs w:val="24"/>
        </w:rPr>
        <w:t>omission of any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mode of investment which may be prescribed”</w:t>
      </w:r>
      <w:r w:rsidR="00EB7265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section 11(5).</w:t>
      </w:r>
    </w:p>
    <w:p w:rsidR="008C0AB3" w:rsidRDefault="008C0AB3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provisions should not be deleted so as to maintain some kind of flexibility in respect of the modes of investment,</w:t>
      </w:r>
      <w:r w:rsidR="00EB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keeping in view the fast changing economic scenario.</w:t>
      </w:r>
    </w:p>
    <w:p w:rsidR="00EB7265" w:rsidRDefault="00EB7265" w:rsidP="008C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B3D" w:rsidRDefault="00EB7265" w:rsidP="008C0AB3">
      <w:r>
        <w:rPr>
          <w:rFonts w:ascii="Times New Roman" w:hAnsi="Times New Roman" w:cs="Times New Roman"/>
          <w:color w:val="0000EF"/>
          <w:sz w:val="24"/>
          <w:szCs w:val="24"/>
        </w:rPr>
        <w:t>Source courtesy:</w:t>
      </w:r>
      <w:r w:rsidR="008C0AB3">
        <w:rPr>
          <w:rFonts w:ascii="Times New Roman" w:hAnsi="Times New Roman" w:cs="Times New Roman"/>
          <w:color w:val="0000EF"/>
          <w:sz w:val="24"/>
          <w:szCs w:val="24"/>
        </w:rPr>
        <w:t xml:space="preserve"> </w:t>
      </w:r>
      <w:proofErr w:type="spellStart"/>
      <w:r w:rsidR="008C0AB3">
        <w:rPr>
          <w:rFonts w:ascii="Times New Roman" w:hAnsi="Times New Roman" w:cs="Times New Roman"/>
          <w:color w:val="0000EF"/>
          <w:sz w:val="24"/>
          <w:szCs w:val="24"/>
        </w:rPr>
        <w:t>Taxguru</w:t>
      </w:r>
      <w:r>
        <w:rPr>
          <w:rFonts w:ascii="Times New Roman" w:hAnsi="Times New Roman" w:cs="Times New Roman"/>
          <w:color w:val="0000EF"/>
          <w:sz w:val="24"/>
          <w:szCs w:val="24"/>
        </w:rPr>
        <w:t>.in</w:t>
      </w:r>
      <w:proofErr w:type="spellEnd"/>
    </w:p>
    <w:sectPr w:rsidR="008E1B3D" w:rsidSect="00A82E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7CDF"/>
    <w:multiLevelType w:val="hybridMultilevel"/>
    <w:tmpl w:val="44A61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B3"/>
    <w:rsid w:val="001E0789"/>
    <w:rsid w:val="00275575"/>
    <w:rsid w:val="0051516C"/>
    <w:rsid w:val="008864ED"/>
    <w:rsid w:val="008C0AB3"/>
    <w:rsid w:val="009F3F76"/>
    <w:rsid w:val="00A82EF7"/>
    <w:rsid w:val="00EB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</dc:creator>
  <cp:keywords/>
  <dc:description/>
  <cp:lastModifiedBy>DER</cp:lastModifiedBy>
  <cp:revision>1</cp:revision>
  <dcterms:created xsi:type="dcterms:W3CDTF">2016-01-25T05:40:00Z</dcterms:created>
  <dcterms:modified xsi:type="dcterms:W3CDTF">2016-01-25T06:22:00Z</dcterms:modified>
</cp:coreProperties>
</file>